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E284D" w14:textId="3B8BBB15" w:rsidR="00417765" w:rsidRPr="00417765" w:rsidRDefault="00417765" w:rsidP="00172C65">
      <w:pPr>
        <w:ind w:left="-720" w:right="-720"/>
        <w:jc w:val="center"/>
        <w:rPr>
          <w:rFonts w:ascii="Avenir Next Medium" w:hAnsi="Avenir Next Medium"/>
          <w:b/>
          <w:bCs/>
          <w:color w:val="2F5496" w:themeColor="accent1" w:themeShade="BF"/>
        </w:rPr>
      </w:pPr>
      <w:r w:rsidRPr="00417765">
        <w:rPr>
          <w:rFonts w:ascii="Avenir Next Medium" w:hAnsi="Avenir Next Medium"/>
          <w:b/>
          <w:bCs/>
          <w:color w:val="2F5496" w:themeColor="accent1" w:themeShade="BF"/>
        </w:rPr>
        <w:t>BLOCK 2: EARLY CLINICAL EXPERIENCE</w:t>
      </w:r>
    </w:p>
    <w:p w14:paraId="540F9225" w14:textId="3796BA54" w:rsidR="00417765" w:rsidRPr="00417765" w:rsidRDefault="00417765" w:rsidP="00172C65">
      <w:pPr>
        <w:ind w:left="-720" w:right="-720"/>
        <w:jc w:val="center"/>
        <w:rPr>
          <w:rFonts w:ascii="Avenir Next Medium" w:hAnsi="Avenir Next Medium"/>
          <w:b/>
          <w:bCs/>
          <w:color w:val="2F5496" w:themeColor="accent1" w:themeShade="BF"/>
        </w:rPr>
      </w:pPr>
      <w:r w:rsidRPr="00417765">
        <w:rPr>
          <w:rFonts w:ascii="Avenir Next Medium" w:hAnsi="Avenir Next Medium"/>
          <w:b/>
          <w:bCs/>
          <w:color w:val="2F5496" w:themeColor="accent1" w:themeShade="BF"/>
        </w:rPr>
        <w:t>STUDENT EXPECTATIONS</w:t>
      </w:r>
    </w:p>
    <w:p w14:paraId="4AD9436E" w14:textId="77777777" w:rsidR="00417765" w:rsidRDefault="00417765" w:rsidP="00172C65">
      <w:pPr>
        <w:ind w:left="-720" w:right="-720"/>
        <w:jc w:val="center"/>
        <w:rPr>
          <w:rFonts w:ascii="Avenir Next Medium" w:hAnsi="Avenir Next Medium"/>
        </w:rPr>
      </w:pPr>
    </w:p>
    <w:p w14:paraId="77C8C2C7" w14:textId="65E9DDD8" w:rsidR="00417765" w:rsidRDefault="00417765" w:rsidP="00172C65">
      <w:pPr>
        <w:ind w:left="-720" w:right="-720"/>
        <w:rPr>
          <w:rFonts w:ascii="Avenir Next Medium" w:hAnsi="Avenir Next Medium"/>
          <w:color w:val="ED7D31" w:themeColor="accent2"/>
          <w:sz w:val="22"/>
          <w:szCs w:val="22"/>
        </w:rPr>
      </w:pPr>
      <w:r>
        <w:rPr>
          <w:rFonts w:ascii="Avenir Next Medium" w:hAnsi="Avenir Next Medium"/>
          <w:color w:val="ED7D31" w:themeColor="accent2"/>
          <w:sz w:val="22"/>
          <w:szCs w:val="22"/>
        </w:rPr>
        <w:t>ENTRUSTABLE PROFESSIONAL ACTIVITIES (Skills)</w:t>
      </w:r>
    </w:p>
    <w:p w14:paraId="08EE18B8" w14:textId="7684A164" w:rsidR="00417765" w:rsidRDefault="00417765" w:rsidP="00172C65">
      <w:pPr>
        <w:pStyle w:val="ListParagraph"/>
        <w:numPr>
          <w:ilvl w:val="0"/>
          <w:numId w:val="2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Anesthesia machine check and operative workstation setup </w:t>
      </w:r>
    </w:p>
    <w:p w14:paraId="32F570B1" w14:textId="2F97D84E" w:rsidR="00417765" w:rsidRDefault="00417765" w:rsidP="00172C65">
      <w:pPr>
        <w:pStyle w:val="ListParagraph"/>
        <w:numPr>
          <w:ilvl w:val="0"/>
          <w:numId w:val="2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Calculation of patient fluid deficit, maintenance requirements and operative replacement strategy </w:t>
      </w:r>
    </w:p>
    <w:p w14:paraId="357B48EE" w14:textId="6895B2C7" w:rsidR="00417765" w:rsidRDefault="00417765" w:rsidP="00172C65">
      <w:pPr>
        <w:pStyle w:val="ListParagraph"/>
        <w:numPr>
          <w:ilvl w:val="0"/>
          <w:numId w:val="2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Intravenous line setup, insertion, and fluid management </w:t>
      </w:r>
    </w:p>
    <w:p w14:paraId="22DBE2BA" w14:textId="55E287D4" w:rsidR="00417765" w:rsidRDefault="00417765" w:rsidP="00172C65">
      <w:pPr>
        <w:pStyle w:val="ListParagraph"/>
        <w:numPr>
          <w:ilvl w:val="0"/>
          <w:numId w:val="2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Sterile technique, proper drug draw, </w:t>
      </w:r>
      <w:proofErr w:type="gramStart"/>
      <w:r>
        <w:rPr>
          <w:rFonts w:ascii="Avenir Next Medium" w:hAnsi="Avenir Next Medium"/>
          <w:color w:val="000000" w:themeColor="text1"/>
          <w:sz w:val="22"/>
          <w:szCs w:val="22"/>
        </w:rPr>
        <w:t>handling</w:t>
      </w:r>
      <w:proofErr w:type="gramEnd"/>
      <w:r>
        <w:rPr>
          <w:rFonts w:ascii="Avenir Next Medium" w:hAnsi="Avenir Next Medium"/>
          <w:color w:val="000000" w:themeColor="text1"/>
          <w:sz w:val="22"/>
          <w:szCs w:val="22"/>
        </w:rPr>
        <w:t xml:space="preserve"> and disposal </w:t>
      </w:r>
    </w:p>
    <w:p w14:paraId="02D08088" w14:textId="089AA960" w:rsidR="00417765" w:rsidRDefault="00417765" w:rsidP="00172C65">
      <w:pPr>
        <w:pStyle w:val="ListParagraph"/>
        <w:numPr>
          <w:ilvl w:val="0"/>
          <w:numId w:val="2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>Basic airway management, including:</w:t>
      </w:r>
    </w:p>
    <w:p w14:paraId="0165F1FE" w14:textId="33F13F24" w:rsidR="00417765" w:rsidRDefault="00417765" w:rsidP="00172C65">
      <w:pPr>
        <w:pStyle w:val="ListParagraph"/>
        <w:numPr>
          <w:ilvl w:val="1"/>
          <w:numId w:val="2"/>
        </w:numPr>
        <w:ind w:left="36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Airway equipment setup </w:t>
      </w:r>
    </w:p>
    <w:p w14:paraId="0B17645E" w14:textId="7ABEF71E" w:rsidR="00417765" w:rsidRDefault="00417765" w:rsidP="00172C65">
      <w:pPr>
        <w:pStyle w:val="ListParagraph"/>
        <w:numPr>
          <w:ilvl w:val="1"/>
          <w:numId w:val="2"/>
        </w:numPr>
        <w:ind w:left="36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Patient airway assessment and </w:t>
      </w:r>
      <w:proofErr w:type="spellStart"/>
      <w:r>
        <w:rPr>
          <w:rFonts w:ascii="Avenir Next Medium" w:hAnsi="Avenir Next Medium"/>
          <w:color w:val="000000" w:themeColor="text1"/>
          <w:sz w:val="22"/>
          <w:szCs w:val="22"/>
        </w:rPr>
        <w:t>Mallampati</w:t>
      </w:r>
      <w:proofErr w:type="spellEnd"/>
      <w:r>
        <w:rPr>
          <w:rFonts w:ascii="Avenir Next Medium" w:hAnsi="Avenir Next Medium"/>
          <w:color w:val="000000" w:themeColor="text1"/>
          <w:sz w:val="22"/>
          <w:szCs w:val="22"/>
        </w:rPr>
        <w:t xml:space="preserve"> classification </w:t>
      </w:r>
    </w:p>
    <w:p w14:paraId="2F7F5E62" w14:textId="7EB53168" w:rsidR="00417765" w:rsidRDefault="00417765" w:rsidP="00172C65">
      <w:pPr>
        <w:pStyle w:val="ListParagraph"/>
        <w:numPr>
          <w:ilvl w:val="1"/>
          <w:numId w:val="2"/>
        </w:numPr>
        <w:ind w:left="36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Bag-mask ventilation </w:t>
      </w:r>
    </w:p>
    <w:p w14:paraId="1EE1BB87" w14:textId="77777777" w:rsidR="00417765" w:rsidRDefault="00417765" w:rsidP="00172C65">
      <w:pPr>
        <w:pStyle w:val="ListParagraph"/>
        <w:numPr>
          <w:ilvl w:val="1"/>
          <w:numId w:val="2"/>
        </w:numPr>
        <w:ind w:left="36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>Oral and nasal airway sizing, selection, and placement</w:t>
      </w:r>
    </w:p>
    <w:p w14:paraId="0231BA29" w14:textId="7493D03B" w:rsidR="00417765" w:rsidRDefault="00417765" w:rsidP="00172C65">
      <w:pPr>
        <w:pStyle w:val="ListParagraph"/>
        <w:numPr>
          <w:ilvl w:val="1"/>
          <w:numId w:val="2"/>
        </w:numPr>
        <w:ind w:left="36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Nasal cannula and oxygen mask selection, placement, and differentiation  </w:t>
      </w:r>
    </w:p>
    <w:p w14:paraId="68E6148B" w14:textId="60DDA279" w:rsidR="00417765" w:rsidRDefault="00417765" w:rsidP="00172C65">
      <w:pPr>
        <w:pStyle w:val="ListParagraph"/>
        <w:numPr>
          <w:ilvl w:val="1"/>
          <w:numId w:val="2"/>
        </w:numPr>
        <w:ind w:left="36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LMA preparation and placement in normal airways </w:t>
      </w:r>
    </w:p>
    <w:p w14:paraId="0491D886" w14:textId="3C9F4E83" w:rsidR="00417765" w:rsidRDefault="00417765" w:rsidP="00172C65">
      <w:pPr>
        <w:pStyle w:val="ListParagraph"/>
        <w:numPr>
          <w:ilvl w:val="1"/>
          <w:numId w:val="2"/>
        </w:numPr>
        <w:ind w:left="36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Direct and video-assisted (i.e., McGrath) laryngoscopy of anatomically normal patient airways </w:t>
      </w:r>
    </w:p>
    <w:p w14:paraId="5410D084" w14:textId="268E73FE" w:rsidR="00417765" w:rsidRDefault="00417765" w:rsidP="00172C65">
      <w:pPr>
        <w:pStyle w:val="ListParagraph"/>
        <w:numPr>
          <w:ilvl w:val="1"/>
          <w:numId w:val="2"/>
        </w:numPr>
        <w:ind w:left="36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Oral and nasal OETT placement and confirmation </w:t>
      </w:r>
    </w:p>
    <w:p w14:paraId="2FB69C0F" w14:textId="0341C6B4" w:rsidR="00417765" w:rsidRDefault="00AF5140" w:rsidP="00172C65">
      <w:pPr>
        <w:pStyle w:val="ListParagraph"/>
        <w:numPr>
          <w:ilvl w:val="0"/>
          <w:numId w:val="2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History and physical examination of the pre-operative patient </w:t>
      </w:r>
    </w:p>
    <w:p w14:paraId="34930115" w14:textId="4D433FBE" w:rsidR="00AF5140" w:rsidRDefault="00AF5140" w:rsidP="00172C65">
      <w:pPr>
        <w:pStyle w:val="ListParagraph"/>
        <w:numPr>
          <w:ilvl w:val="0"/>
          <w:numId w:val="2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Chart review and basic Anesthesia Care Plan development and defense </w:t>
      </w:r>
    </w:p>
    <w:p w14:paraId="6B787348" w14:textId="6881D6AC" w:rsidR="00AF5140" w:rsidRDefault="00AF5140" w:rsidP="00172C65">
      <w:pPr>
        <w:pStyle w:val="ListParagraph"/>
        <w:numPr>
          <w:ilvl w:val="0"/>
          <w:numId w:val="2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Calculation of drug dosage and concentration for commonly used agents </w:t>
      </w:r>
    </w:p>
    <w:p w14:paraId="4BAFEFB2" w14:textId="77777777" w:rsidR="00AF5140" w:rsidRDefault="00AF5140" w:rsidP="00172C65">
      <w:pPr>
        <w:ind w:left="-720" w:right="-720"/>
        <w:rPr>
          <w:rFonts w:ascii="Avenir Next Medium" w:hAnsi="Avenir Next Medium"/>
          <w:color w:val="000000" w:themeColor="text1"/>
          <w:sz w:val="22"/>
          <w:szCs w:val="22"/>
        </w:rPr>
      </w:pPr>
    </w:p>
    <w:p w14:paraId="30922E01" w14:textId="2B367FDB" w:rsidR="00AF5140" w:rsidRDefault="00AF5140" w:rsidP="00172C65">
      <w:pPr>
        <w:ind w:left="-720" w:right="-720"/>
        <w:rPr>
          <w:rFonts w:ascii="Avenir Next Medium" w:hAnsi="Avenir Next Medium"/>
          <w:color w:val="ED7D31" w:themeColor="accent2"/>
          <w:sz w:val="22"/>
          <w:szCs w:val="22"/>
        </w:rPr>
      </w:pPr>
      <w:r>
        <w:rPr>
          <w:rFonts w:ascii="Avenir Next Medium" w:hAnsi="Avenir Next Medium"/>
          <w:color w:val="ED7D31" w:themeColor="accent2"/>
          <w:sz w:val="22"/>
          <w:szCs w:val="22"/>
        </w:rPr>
        <w:t>FOUNDATIONAL COURSEWORK (Knowledge)</w:t>
      </w:r>
    </w:p>
    <w:p w14:paraId="27B40981" w14:textId="74AC30B8" w:rsidR="00AF5140" w:rsidRDefault="00AF5140" w:rsidP="00172C65">
      <w:pPr>
        <w:pStyle w:val="ListParagraph"/>
        <w:numPr>
          <w:ilvl w:val="0"/>
          <w:numId w:val="3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 w:rsidRPr="00AF5140">
        <w:rPr>
          <w:rFonts w:ascii="Avenir Next Medium" w:hAnsi="Avenir Next Medium"/>
          <w:b/>
          <w:bCs/>
          <w:color w:val="000000" w:themeColor="text1"/>
          <w:sz w:val="22"/>
          <w:szCs w:val="22"/>
        </w:rPr>
        <w:t>Anatomy</w:t>
      </w:r>
      <w:r>
        <w:rPr>
          <w:rFonts w:ascii="Avenir Next Medium" w:hAnsi="Avenir Next Medium"/>
          <w:color w:val="000000" w:themeColor="text1"/>
          <w:sz w:val="22"/>
          <w:szCs w:val="22"/>
        </w:rPr>
        <w:t xml:space="preserve"> – detailed understanding of anatomical structures with a focus on central and peripheral neuro-cranial, cardiothoracic, gastrointestinal, and renal anatomy</w:t>
      </w:r>
    </w:p>
    <w:p w14:paraId="6AD47C29" w14:textId="33920426" w:rsidR="00AF5140" w:rsidRDefault="00AF5140" w:rsidP="00172C65">
      <w:pPr>
        <w:pStyle w:val="ListParagraph"/>
        <w:numPr>
          <w:ilvl w:val="0"/>
          <w:numId w:val="3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 w:rsidRPr="00AF5140">
        <w:rPr>
          <w:rFonts w:ascii="Avenir Next Medium" w:hAnsi="Avenir Next Medium"/>
          <w:b/>
          <w:bCs/>
          <w:color w:val="000000" w:themeColor="text1"/>
          <w:sz w:val="22"/>
          <w:szCs w:val="22"/>
        </w:rPr>
        <w:t xml:space="preserve">Pharmacology </w:t>
      </w:r>
      <w:r w:rsidR="00172C65">
        <w:rPr>
          <w:rFonts w:ascii="Avenir Next Medium" w:hAnsi="Avenir Next Medium"/>
          <w:color w:val="000000" w:themeColor="text1"/>
          <w:sz w:val="22"/>
          <w:szCs w:val="22"/>
        </w:rPr>
        <w:t>–</w:t>
      </w:r>
      <w:r>
        <w:rPr>
          <w:rFonts w:ascii="Avenir Next Medium" w:hAnsi="Avenir Next Medium"/>
          <w:color w:val="000000" w:themeColor="text1"/>
          <w:sz w:val="22"/>
          <w:szCs w:val="22"/>
        </w:rPr>
        <w:t xml:space="preserve"> </w:t>
      </w:r>
      <w:r w:rsidR="00172C65">
        <w:rPr>
          <w:rFonts w:ascii="Avenir Next Medium" w:hAnsi="Avenir Next Medium"/>
          <w:color w:val="000000" w:themeColor="text1"/>
          <w:sz w:val="22"/>
          <w:szCs w:val="22"/>
        </w:rPr>
        <w:t xml:space="preserve">Pharmaco-kinetic and dynamics, drug interactions, metabolism, agonist and antagonist relationships, and commonly used pharmacologic </w:t>
      </w:r>
      <w:proofErr w:type="gramStart"/>
      <w:r w:rsidR="00172C65">
        <w:rPr>
          <w:rFonts w:ascii="Avenir Next Medium" w:hAnsi="Avenir Next Medium"/>
          <w:color w:val="000000" w:themeColor="text1"/>
          <w:sz w:val="22"/>
          <w:szCs w:val="22"/>
        </w:rPr>
        <w:t>agents</w:t>
      </w:r>
      <w:proofErr w:type="gramEnd"/>
    </w:p>
    <w:p w14:paraId="7479D883" w14:textId="0F382F38" w:rsidR="00172C65" w:rsidRDefault="00172C65" w:rsidP="00172C65">
      <w:pPr>
        <w:pStyle w:val="ListParagraph"/>
        <w:numPr>
          <w:ilvl w:val="0"/>
          <w:numId w:val="3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b/>
          <w:bCs/>
          <w:color w:val="000000" w:themeColor="text1"/>
          <w:sz w:val="22"/>
          <w:szCs w:val="22"/>
        </w:rPr>
        <w:t>Physiology</w:t>
      </w:r>
      <w:r>
        <w:rPr>
          <w:rFonts w:ascii="Avenir Next Medium" w:hAnsi="Avenir Next Medium"/>
          <w:color w:val="000000" w:themeColor="text1"/>
          <w:sz w:val="22"/>
          <w:szCs w:val="22"/>
        </w:rPr>
        <w:t xml:space="preserve"> – foundational systems-based understanding of cellular, organismal and system integration of all primary human mechanisms </w:t>
      </w:r>
    </w:p>
    <w:p w14:paraId="1035414E" w14:textId="0E08C3A1" w:rsidR="00172C65" w:rsidRDefault="00172C65" w:rsidP="00172C65">
      <w:pPr>
        <w:pStyle w:val="ListParagraph"/>
        <w:numPr>
          <w:ilvl w:val="0"/>
          <w:numId w:val="3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b/>
          <w:bCs/>
          <w:color w:val="000000" w:themeColor="text1"/>
          <w:sz w:val="22"/>
          <w:szCs w:val="22"/>
        </w:rPr>
        <w:t>Health policy</w:t>
      </w:r>
      <w:r>
        <w:rPr>
          <w:rFonts w:ascii="Avenir Next Medium" w:hAnsi="Avenir Next Medium"/>
          <w:color w:val="000000" w:themeColor="text1"/>
          <w:sz w:val="22"/>
          <w:szCs w:val="22"/>
        </w:rPr>
        <w:t xml:space="preserve"> – basic understanding of healthcare economics, reimbursement for clinical services, systems-based practice, and quality-value interplay </w:t>
      </w:r>
    </w:p>
    <w:p w14:paraId="6783457F" w14:textId="6A7F5887" w:rsidR="00172C65" w:rsidRDefault="00172C65" w:rsidP="00172C65">
      <w:pPr>
        <w:pStyle w:val="ListParagraph"/>
        <w:numPr>
          <w:ilvl w:val="0"/>
          <w:numId w:val="3"/>
        </w:numPr>
        <w:ind w:left="-18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b/>
          <w:bCs/>
          <w:color w:val="000000" w:themeColor="text1"/>
          <w:sz w:val="22"/>
          <w:szCs w:val="22"/>
        </w:rPr>
        <w:t>Technology and monitoring</w:t>
      </w:r>
      <w:r>
        <w:rPr>
          <w:rFonts w:ascii="Avenir Next Medium" w:hAnsi="Avenir Next Medium"/>
          <w:color w:val="000000" w:themeColor="text1"/>
          <w:sz w:val="22"/>
          <w:szCs w:val="22"/>
        </w:rPr>
        <w:t xml:space="preserve"> – basic understanding of commonly used technology, instruments, and monitors with a focus on the biophysical laws and electrocardiogram interpretation.</w:t>
      </w:r>
    </w:p>
    <w:p w14:paraId="2ED909D2" w14:textId="77777777" w:rsidR="00172C65" w:rsidRDefault="00172C65" w:rsidP="00172C65">
      <w:pPr>
        <w:ind w:left="-720" w:right="-720"/>
        <w:rPr>
          <w:rFonts w:ascii="Avenir Next Medium" w:hAnsi="Avenir Next Medium"/>
          <w:sz w:val="22"/>
          <w:szCs w:val="22"/>
        </w:rPr>
      </w:pPr>
    </w:p>
    <w:p w14:paraId="75895B72" w14:textId="74E994FB" w:rsidR="00172C65" w:rsidRDefault="00172C65" w:rsidP="00172C65">
      <w:pPr>
        <w:ind w:left="-72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ED7D31" w:themeColor="accent2"/>
          <w:sz w:val="22"/>
          <w:szCs w:val="22"/>
        </w:rPr>
        <w:t>PROFESSIONALISM EXPECTATION (Attitudes)</w:t>
      </w:r>
    </w:p>
    <w:p w14:paraId="29ED2F3C" w14:textId="666ED8EC" w:rsidR="00172C65" w:rsidRDefault="00172C65" w:rsidP="00172C65">
      <w:pPr>
        <w:ind w:left="-720"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Every student is expected to display the highest level of professionalism, as evidenced by their drive for self-improvement, respect for clinical faculty and perioperative staff, and attention to detail </w:t>
      </w:r>
      <w:r w:rsidR="0083356C">
        <w:rPr>
          <w:rFonts w:ascii="Avenir Next Medium" w:hAnsi="Avenir Next Medium"/>
          <w:color w:val="000000" w:themeColor="text1"/>
          <w:sz w:val="22"/>
          <w:szCs w:val="22"/>
        </w:rPr>
        <w:t>for patient safety. Areas of focus include:</w:t>
      </w:r>
    </w:p>
    <w:p w14:paraId="10C188FC" w14:textId="2D603C22" w:rsidR="0083356C" w:rsidRDefault="0083356C" w:rsidP="0083356C">
      <w:pPr>
        <w:pStyle w:val="ListParagraph"/>
        <w:numPr>
          <w:ilvl w:val="1"/>
          <w:numId w:val="4"/>
        </w:numPr>
        <w:ind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Arrival time to the </w:t>
      </w:r>
      <w:proofErr w:type="spellStart"/>
      <w:r>
        <w:rPr>
          <w:rFonts w:ascii="Avenir Next Medium" w:hAnsi="Avenir Next Medium"/>
          <w:color w:val="000000" w:themeColor="text1"/>
          <w:sz w:val="22"/>
          <w:szCs w:val="22"/>
        </w:rPr>
        <w:t>clincal</w:t>
      </w:r>
      <w:proofErr w:type="spellEnd"/>
      <w:r>
        <w:rPr>
          <w:rFonts w:ascii="Avenir Next Medium" w:hAnsi="Avenir Next Medium"/>
          <w:color w:val="000000" w:themeColor="text1"/>
          <w:sz w:val="22"/>
          <w:szCs w:val="22"/>
        </w:rPr>
        <w:t xml:space="preserve"> site is 6:30AM with departure no earlier than 5:00PM</w:t>
      </w:r>
    </w:p>
    <w:p w14:paraId="08AB6EA5" w14:textId="14401F73" w:rsidR="0083356C" w:rsidRDefault="0083356C" w:rsidP="0083356C">
      <w:pPr>
        <w:pStyle w:val="ListParagraph"/>
        <w:numPr>
          <w:ilvl w:val="1"/>
          <w:numId w:val="4"/>
        </w:numPr>
        <w:ind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>Intentional listening and open to (and actively seeking) feedback/</w:t>
      </w:r>
      <w:proofErr w:type="gramStart"/>
      <w:r>
        <w:rPr>
          <w:rFonts w:ascii="Avenir Next Medium" w:hAnsi="Avenir Next Medium"/>
          <w:color w:val="000000" w:themeColor="text1"/>
          <w:sz w:val="22"/>
          <w:szCs w:val="22"/>
        </w:rPr>
        <w:t>critique</w:t>
      </w:r>
      <w:proofErr w:type="gramEnd"/>
      <w:r>
        <w:rPr>
          <w:rFonts w:ascii="Avenir Next Medium" w:hAnsi="Avenir Next Medium"/>
          <w:color w:val="000000" w:themeColor="text1"/>
          <w:sz w:val="22"/>
          <w:szCs w:val="22"/>
        </w:rPr>
        <w:t xml:space="preserve"> </w:t>
      </w:r>
    </w:p>
    <w:p w14:paraId="48A26BA2" w14:textId="296EEB47" w:rsidR="0083356C" w:rsidRDefault="0083356C" w:rsidP="0083356C">
      <w:pPr>
        <w:pStyle w:val="ListParagraph"/>
        <w:numPr>
          <w:ilvl w:val="1"/>
          <w:numId w:val="4"/>
        </w:numPr>
        <w:ind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 xml:space="preserve">Respectful interaction with patients, staff, and faculty </w:t>
      </w:r>
    </w:p>
    <w:p w14:paraId="55CA90BF" w14:textId="77777777" w:rsidR="0083356C" w:rsidRPr="0083356C" w:rsidRDefault="0083356C" w:rsidP="0083356C">
      <w:pPr>
        <w:pStyle w:val="ListParagraph"/>
        <w:numPr>
          <w:ilvl w:val="1"/>
          <w:numId w:val="4"/>
        </w:numPr>
        <w:ind w:right="-720"/>
        <w:rPr>
          <w:rFonts w:ascii="Avenir Next Medium" w:hAnsi="Avenir Next Medium"/>
          <w:color w:val="000000" w:themeColor="text1"/>
          <w:sz w:val="22"/>
          <w:szCs w:val="22"/>
        </w:rPr>
      </w:pPr>
      <w:r>
        <w:rPr>
          <w:rFonts w:ascii="Avenir Next Medium" w:hAnsi="Avenir Next Medium"/>
          <w:color w:val="000000" w:themeColor="text1"/>
          <w:sz w:val="22"/>
          <w:szCs w:val="22"/>
        </w:rPr>
        <w:t>Professional dress on arrival and departure from the clinical site</w:t>
      </w:r>
      <w:r>
        <w:tab/>
      </w:r>
    </w:p>
    <w:p w14:paraId="2E5B5556" w14:textId="53C20870" w:rsidR="0083356C" w:rsidRPr="0083356C" w:rsidRDefault="0083356C" w:rsidP="0083356C">
      <w:pPr>
        <w:pStyle w:val="ListParagraph"/>
        <w:numPr>
          <w:ilvl w:val="1"/>
          <w:numId w:val="4"/>
        </w:numPr>
        <w:ind w:right="-720"/>
        <w:rPr>
          <w:rFonts w:ascii="Avenir Next Medium" w:hAnsi="Avenir Next Medium"/>
          <w:color w:val="000000" w:themeColor="text1"/>
          <w:sz w:val="22"/>
          <w:szCs w:val="22"/>
        </w:rPr>
      </w:pPr>
      <w:r w:rsidRPr="0083356C">
        <w:rPr>
          <w:rFonts w:ascii="Avenir Next Medium" w:hAnsi="Avenir Next Medium"/>
          <w:color w:val="000000" w:themeColor="text1"/>
          <w:sz w:val="22"/>
          <w:szCs w:val="22"/>
        </w:rPr>
        <w:t>Preparation for the clinical day through focused study of the day’s cases, follow up with post-operative patients, and development of Anesthesia Care Plans</w:t>
      </w:r>
    </w:p>
    <w:sectPr w:rsidR="0083356C" w:rsidRPr="0083356C" w:rsidSect="0083356C">
      <w:pgSz w:w="12240" w:h="15840"/>
      <w:pgMar w:top="999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venir Next Medium">
    <w:panose1 w:val="020B0603020202020204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790F"/>
    <w:multiLevelType w:val="hybridMultilevel"/>
    <w:tmpl w:val="2E7EE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83AC7"/>
    <w:multiLevelType w:val="hybridMultilevel"/>
    <w:tmpl w:val="24E6F09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53325EDC"/>
    <w:multiLevelType w:val="hybridMultilevel"/>
    <w:tmpl w:val="B23A0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C0F0C"/>
    <w:multiLevelType w:val="hybridMultilevel"/>
    <w:tmpl w:val="03E0E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632590">
    <w:abstractNumId w:val="0"/>
  </w:num>
  <w:num w:numId="2" w16cid:durableId="1266232521">
    <w:abstractNumId w:val="2"/>
  </w:num>
  <w:num w:numId="3" w16cid:durableId="245189919">
    <w:abstractNumId w:val="3"/>
  </w:num>
  <w:num w:numId="4" w16cid:durableId="935753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65"/>
    <w:rsid w:val="00017955"/>
    <w:rsid w:val="000B7543"/>
    <w:rsid w:val="00117885"/>
    <w:rsid w:val="00172C65"/>
    <w:rsid w:val="002B3F8D"/>
    <w:rsid w:val="003B06C9"/>
    <w:rsid w:val="00417765"/>
    <w:rsid w:val="00710B83"/>
    <w:rsid w:val="0083356C"/>
    <w:rsid w:val="00892F4D"/>
    <w:rsid w:val="008A67DC"/>
    <w:rsid w:val="008B0732"/>
    <w:rsid w:val="00AF5140"/>
    <w:rsid w:val="00B707EE"/>
    <w:rsid w:val="00CD78DD"/>
    <w:rsid w:val="00D21B53"/>
    <w:rsid w:val="00F467AA"/>
    <w:rsid w:val="00F65525"/>
    <w:rsid w:val="00F8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A7B572"/>
  <w15:chartTrackingRefBased/>
  <w15:docId w15:val="{EFE6587B-3A9A-BC44-8ECA-3D61F78F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Nichols</dc:creator>
  <cp:keywords/>
  <dc:description/>
  <cp:lastModifiedBy>Michael Nichols</cp:lastModifiedBy>
  <cp:revision>1</cp:revision>
  <dcterms:created xsi:type="dcterms:W3CDTF">2023-07-05T20:53:00Z</dcterms:created>
  <dcterms:modified xsi:type="dcterms:W3CDTF">2023-07-05T21:30:00Z</dcterms:modified>
</cp:coreProperties>
</file>